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71DF" w:rsidRDefault="009B71DF" w:rsidP="00907428">
      <w:pPr>
        <w:pStyle w:val="Sinespaciado"/>
        <w:jc w:val="both"/>
        <w:rPr>
          <w:rFonts w:ascii="Arial" w:hAnsi="Arial" w:cs="Arial"/>
          <w:sz w:val="24"/>
          <w:szCs w:val="24"/>
        </w:rPr>
      </w:pPr>
    </w:p>
    <w:p w:rsidR="009B71DF" w:rsidRDefault="009B71DF" w:rsidP="009B71DF">
      <w:pPr>
        <w:pStyle w:val="Sinespaciado"/>
        <w:jc w:val="center"/>
        <w:rPr>
          <w:rFonts w:ascii="Arial" w:hAnsi="Arial" w:cs="Arial"/>
          <w:b/>
          <w:sz w:val="24"/>
          <w:szCs w:val="24"/>
        </w:rPr>
      </w:pPr>
      <w:r>
        <w:rPr>
          <w:rFonts w:ascii="Arial" w:hAnsi="Arial" w:cs="Arial"/>
          <w:b/>
          <w:sz w:val="24"/>
          <w:szCs w:val="24"/>
        </w:rPr>
        <w:t>ACTA DE VISITA PREVENTIVA Y DE CONTROL DE GESTION AL COMITÉ DE CONCILIACION DEL HOSPITAL SAN VICENTE DE ARAUCA E.S.E</w:t>
      </w:r>
    </w:p>
    <w:p w:rsidR="009B71DF" w:rsidRDefault="009B71DF" w:rsidP="009B71DF">
      <w:pPr>
        <w:pStyle w:val="Sinespaciado"/>
        <w:jc w:val="center"/>
        <w:rPr>
          <w:rFonts w:ascii="Arial" w:hAnsi="Arial" w:cs="Arial"/>
          <w:b/>
          <w:sz w:val="24"/>
          <w:szCs w:val="24"/>
        </w:rPr>
      </w:pPr>
    </w:p>
    <w:p w:rsidR="009B71DF" w:rsidRPr="001039DC" w:rsidRDefault="009B71DF" w:rsidP="009B71DF">
      <w:pPr>
        <w:pStyle w:val="Sinespaciado"/>
        <w:jc w:val="both"/>
        <w:rPr>
          <w:rFonts w:ascii="Arial" w:hAnsi="Arial" w:cs="Arial"/>
          <w:sz w:val="24"/>
          <w:szCs w:val="24"/>
        </w:rPr>
      </w:pPr>
      <w:r>
        <w:rPr>
          <w:rFonts w:ascii="Arial" w:hAnsi="Arial" w:cs="Arial"/>
          <w:sz w:val="24"/>
          <w:szCs w:val="24"/>
        </w:rPr>
        <w:t xml:space="preserve">En Arauca, a los ocho (08) días del mes de </w:t>
      </w:r>
      <w:r w:rsidR="0023388E">
        <w:rPr>
          <w:rFonts w:ascii="Arial" w:hAnsi="Arial" w:cs="Arial"/>
          <w:sz w:val="24"/>
          <w:szCs w:val="24"/>
        </w:rPr>
        <w:t xml:space="preserve">febrero </w:t>
      </w:r>
      <w:r>
        <w:rPr>
          <w:rFonts w:ascii="Arial" w:hAnsi="Arial" w:cs="Arial"/>
          <w:sz w:val="24"/>
          <w:szCs w:val="24"/>
        </w:rPr>
        <w:t>del año dos mil diecinueve (2019</w:t>
      </w:r>
      <w:r w:rsidRPr="001039DC">
        <w:rPr>
          <w:rFonts w:ascii="Arial" w:hAnsi="Arial" w:cs="Arial"/>
          <w:sz w:val="24"/>
          <w:szCs w:val="24"/>
        </w:rPr>
        <w:t>), la</w:t>
      </w:r>
      <w:r>
        <w:rPr>
          <w:rFonts w:ascii="Arial" w:hAnsi="Arial" w:cs="Arial"/>
          <w:sz w:val="24"/>
          <w:szCs w:val="24"/>
        </w:rPr>
        <w:t xml:space="preserve"> Procuraduría </w:t>
      </w:r>
      <w:r w:rsidRPr="001039DC">
        <w:rPr>
          <w:rFonts w:ascii="Arial" w:hAnsi="Arial" w:cs="Arial"/>
          <w:sz w:val="24"/>
          <w:szCs w:val="24"/>
        </w:rPr>
        <w:t>171 Judicial I Administrativa</w:t>
      </w:r>
      <w:r>
        <w:rPr>
          <w:rFonts w:ascii="Arial" w:hAnsi="Arial" w:cs="Arial"/>
          <w:sz w:val="24"/>
          <w:szCs w:val="24"/>
        </w:rPr>
        <w:t>s</w:t>
      </w:r>
      <w:r w:rsidRPr="001039DC">
        <w:rPr>
          <w:rFonts w:ascii="Arial" w:hAnsi="Arial" w:cs="Arial"/>
          <w:sz w:val="24"/>
          <w:szCs w:val="24"/>
        </w:rPr>
        <w:t xml:space="preserve"> de Arauca, una vez finalizado el diligenciamiento del</w:t>
      </w:r>
      <w:r>
        <w:rPr>
          <w:rFonts w:ascii="Arial" w:hAnsi="Arial" w:cs="Arial"/>
          <w:sz w:val="24"/>
          <w:szCs w:val="24"/>
        </w:rPr>
        <w:t xml:space="preserve"> formato de visitas y </w:t>
      </w:r>
      <w:r w:rsidRPr="001039DC">
        <w:rPr>
          <w:rFonts w:ascii="Arial" w:hAnsi="Arial" w:cs="Arial"/>
          <w:sz w:val="24"/>
          <w:szCs w:val="24"/>
        </w:rPr>
        <w:t xml:space="preserve"> la recolección de los documentos requeridos, se permite</w:t>
      </w:r>
      <w:r>
        <w:rPr>
          <w:rFonts w:ascii="Arial" w:hAnsi="Arial" w:cs="Arial"/>
          <w:sz w:val="24"/>
          <w:szCs w:val="24"/>
        </w:rPr>
        <w:t>n</w:t>
      </w:r>
      <w:r w:rsidRPr="001039DC">
        <w:rPr>
          <w:rFonts w:ascii="Arial" w:hAnsi="Arial" w:cs="Arial"/>
          <w:sz w:val="24"/>
          <w:szCs w:val="24"/>
        </w:rPr>
        <w:t xml:space="preserve"> concluir que se hace necesario realizar capacitación a los integrantes del comité de conciliación de</w:t>
      </w:r>
      <w:r>
        <w:rPr>
          <w:rFonts w:ascii="Arial" w:hAnsi="Arial" w:cs="Arial"/>
          <w:sz w:val="24"/>
          <w:szCs w:val="24"/>
        </w:rPr>
        <w:t>l HOSPITAL SAN VICENTE DE ARAUCA</w:t>
      </w:r>
      <w:r w:rsidRPr="001039DC">
        <w:rPr>
          <w:rFonts w:ascii="Arial" w:hAnsi="Arial" w:cs="Arial"/>
          <w:sz w:val="24"/>
          <w:szCs w:val="24"/>
        </w:rPr>
        <w:t>, sobre mecanismos alternativos</w:t>
      </w:r>
      <w:bookmarkStart w:id="0" w:name="_GoBack"/>
      <w:bookmarkEnd w:id="0"/>
      <w:r w:rsidRPr="001039DC">
        <w:rPr>
          <w:rFonts w:ascii="Arial" w:hAnsi="Arial" w:cs="Arial"/>
          <w:sz w:val="24"/>
          <w:szCs w:val="24"/>
        </w:rPr>
        <w:t xml:space="preserve"> de solución de conflictos, diseños de políticas integrales de defensa judicial y prevención del daño antijurídico; Medio de control de Repet</w:t>
      </w:r>
      <w:r>
        <w:rPr>
          <w:rFonts w:ascii="Arial" w:hAnsi="Arial" w:cs="Arial"/>
          <w:sz w:val="24"/>
          <w:szCs w:val="24"/>
        </w:rPr>
        <w:t>ición y llamamiento en garantía. De igual forma se hace necesario</w:t>
      </w:r>
      <w:r w:rsidRPr="001039DC">
        <w:rPr>
          <w:rFonts w:ascii="Arial" w:hAnsi="Arial" w:cs="Arial"/>
          <w:sz w:val="24"/>
          <w:szCs w:val="24"/>
        </w:rPr>
        <w:t xml:space="preserve"> la realización de un plan de mejoramiento por parte de la entidad visitada respecto de las f</w:t>
      </w:r>
      <w:r>
        <w:rPr>
          <w:rFonts w:ascii="Arial" w:hAnsi="Arial" w:cs="Arial"/>
          <w:sz w:val="24"/>
          <w:szCs w:val="24"/>
        </w:rPr>
        <w:t xml:space="preserve">alencias observadas como son: i) Actualización de Políticas de prevención del daño antijurídico, ii) Crear el plan de acción para implementar la política de prevención del daño antijurídico. iii) Fijar las directrices institucionales para el uso de mecanismos alternativos de solución de conflicto (artículo 2.2.4.3.1.2.5. del Decreto 1069 de 2015). </w:t>
      </w:r>
      <w:proofErr w:type="spellStart"/>
      <w:r>
        <w:rPr>
          <w:rFonts w:ascii="Arial" w:hAnsi="Arial" w:cs="Arial"/>
          <w:sz w:val="24"/>
          <w:szCs w:val="24"/>
        </w:rPr>
        <w:t>Iv</w:t>
      </w:r>
      <w:proofErr w:type="spellEnd"/>
      <w:r>
        <w:rPr>
          <w:rFonts w:ascii="Arial" w:hAnsi="Arial" w:cs="Arial"/>
          <w:sz w:val="24"/>
          <w:szCs w:val="24"/>
        </w:rPr>
        <w:t xml:space="preserve">) Implementar por parte de la Secretaría técnica del comité de conciliación los mecanismos para verificar el cumplimiento de las decisiones adoptadas por el Comité, </w:t>
      </w:r>
      <w:bookmarkStart w:id="1" w:name="OLE_LINK1"/>
      <w:r>
        <w:rPr>
          <w:rFonts w:ascii="Arial" w:hAnsi="Arial" w:cs="Arial"/>
          <w:sz w:val="24"/>
          <w:szCs w:val="24"/>
        </w:rPr>
        <w:t xml:space="preserve">Numeral 2 artículo 2.2.4.3.1.2.6. </w:t>
      </w:r>
      <w:proofErr w:type="gramStart"/>
      <w:r>
        <w:rPr>
          <w:rFonts w:ascii="Arial" w:hAnsi="Arial" w:cs="Arial"/>
          <w:sz w:val="24"/>
          <w:szCs w:val="24"/>
        </w:rPr>
        <w:t>del</w:t>
      </w:r>
      <w:proofErr w:type="gramEnd"/>
      <w:r>
        <w:rPr>
          <w:rFonts w:ascii="Arial" w:hAnsi="Arial" w:cs="Arial"/>
          <w:sz w:val="24"/>
          <w:szCs w:val="24"/>
        </w:rPr>
        <w:t xml:space="preserve"> Decreto 1069 de 2015.</w:t>
      </w:r>
      <w:bookmarkEnd w:id="1"/>
      <w:r>
        <w:rPr>
          <w:rFonts w:ascii="Arial" w:hAnsi="Arial" w:cs="Arial"/>
          <w:sz w:val="24"/>
          <w:szCs w:val="24"/>
        </w:rPr>
        <w:t xml:space="preserve">  v) Evaluar las principales causas generadoras de procesos judiciales en contra de la entidad (artículo 2.2.4.3.1.2.5. del Decreto 1069 de 2015). </w:t>
      </w:r>
      <w:proofErr w:type="gramStart"/>
      <w:r>
        <w:rPr>
          <w:rFonts w:ascii="Arial" w:hAnsi="Arial" w:cs="Arial"/>
          <w:sz w:val="24"/>
          <w:szCs w:val="24"/>
        </w:rPr>
        <w:t>vi</w:t>
      </w:r>
      <w:proofErr w:type="gramEnd"/>
      <w:r>
        <w:rPr>
          <w:rFonts w:ascii="Arial" w:hAnsi="Arial" w:cs="Arial"/>
          <w:sz w:val="24"/>
          <w:szCs w:val="24"/>
        </w:rPr>
        <w:t xml:space="preserve">) Dar cumplimiento a lo establecido en el artículo 2.2.4.3.1.2.12 del Decreto 1069 de 2015 respecto de la acción de Repetición. </w:t>
      </w:r>
      <w:proofErr w:type="spellStart"/>
      <w:r>
        <w:rPr>
          <w:rFonts w:ascii="Arial" w:hAnsi="Arial" w:cs="Arial"/>
          <w:sz w:val="24"/>
          <w:szCs w:val="24"/>
        </w:rPr>
        <w:t>Vii</w:t>
      </w:r>
      <w:proofErr w:type="spellEnd"/>
      <w:r>
        <w:rPr>
          <w:rFonts w:ascii="Arial" w:hAnsi="Arial" w:cs="Arial"/>
          <w:sz w:val="24"/>
          <w:szCs w:val="24"/>
        </w:rPr>
        <w:t>) Dar cumplimiento a la Ley General de Archivo (Ley 594 de 2000). S</w:t>
      </w:r>
      <w:r w:rsidRPr="001039DC">
        <w:rPr>
          <w:rFonts w:ascii="Arial" w:hAnsi="Arial" w:cs="Arial"/>
          <w:sz w:val="24"/>
          <w:szCs w:val="24"/>
        </w:rPr>
        <w:t>e estab</w:t>
      </w:r>
      <w:r>
        <w:rPr>
          <w:rFonts w:ascii="Arial" w:hAnsi="Arial" w:cs="Arial"/>
          <w:sz w:val="24"/>
          <w:szCs w:val="24"/>
        </w:rPr>
        <w:t>lece un término máximo de Cuatro (4</w:t>
      </w:r>
      <w:r w:rsidRPr="001039DC">
        <w:rPr>
          <w:rFonts w:ascii="Arial" w:hAnsi="Arial" w:cs="Arial"/>
          <w:sz w:val="24"/>
          <w:szCs w:val="24"/>
        </w:rPr>
        <w:t xml:space="preserve">) meses </w:t>
      </w:r>
      <w:r w:rsidR="004E0AAC">
        <w:rPr>
          <w:rFonts w:ascii="Arial" w:hAnsi="Arial" w:cs="Arial"/>
          <w:sz w:val="24"/>
          <w:szCs w:val="24"/>
        </w:rPr>
        <w:t>contados a partir del día de comunicación del presente diagnóstico</w:t>
      </w:r>
      <w:r w:rsidRPr="001039DC">
        <w:rPr>
          <w:rFonts w:ascii="Arial" w:hAnsi="Arial" w:cs="Arial"/>
          <w:sz w:val="24"/>
          <w:szCs w:val="24"/>
        </w:rPr>
        <w:t>.</w:t>
      </w:r>
    </w:p>
    <w:p w:rsidR="009B71DF" w:rsidRDefault="009B71DF" w:rsidP="009B71DF">
      <w:pPr>
        <w:pStyle w:val="Sinespaciado"/>
        <w:jc w:val="both"/>
        <w:rPr>
          <w:rFonts w:ascii="Arial" w:hAnsi="Arial" w:cs="Arial"/>
          <w:sz w:val="24"/>
          <w:szCs w:val="24"/>
        </w:rPr>
      </w:pPr>
    </w:p>
    <w:p w:rsidR="009B71DF" w:rsidRDefault="009B71DF" w:rsidP="009B71DF">
      <w:pPr>
        <w:pStyle w:val="Sinespaciado"/>
        <w:jc w:val="both"/>
        <w:rPr>
          <w:rFonts w:ascii="Arial" w:hAnsi="Arial" w:cs="Arial"/>
          <w:sz w:val="24"/>
          <w:szCs w:val="24"/>
        </w:rPr>
      </w:pPr>
    </w:p>
    <w:p w:rsidR="009B71DF" w:rsidRDefault="009B71DF" w:rsidP="009B71DF">
      <w:pPr>
        <w:pStyle w:val="Sinespaciado"/>
        <w:jc w:val="both"/>
        <w:rPr>
          <w:rFonts w:ascii="Arial" w:hAnsi="Arial" w:cs="Arial"/>
          <w:sz w:val="24"/>
          <w:szCs w:val="24"/>
        </w:rPr>
      </w:pPr>
    </w:p>
    <w:p w:rsidR="009B71DF" w:rsidRDefault="009B71DF" w:rsidP="009B71DF">
      <w:pPr>
        <w:pStyle w:val="Sinespaciado"/>
        <w:jc w:val="both"/>
        <w:rPr>
          <w:rFonts w:ascii="Arial" w:hAnsi="Arial" w:cs="Arial"/>
          <w:sz w:val="24"/>
          <w:szCs w:val="24"/>
        </w:rPr>
      </w:pPr>
    </w:p>
    <w:p w:rsidR="009B71DF" w:rsidRDefault="009B71DF" w:rsidP="009B71DF">
      <w:pPr>
        <w:pStyle w:val="Sinespaciado"/>
        <w:jc w:val="both"/>
        <w:rPr>
          <w:rFonts w:ascii="Arial" w:hAnsi="Arial" w:cs="Arial"/>
          <w:sz w:val="24"/>
          <w:szCs w:val="24"/>
        </w:rPr>
      </w:pPr>
    </w:p>
    <w:p w:rsidR="009B71DF" w:rsidRDefault="009B71DF" w:rsidP="009B71DF">
      <w:pPr>
        <w:pStyle w:val="Sinespaciado"/>
        <w:jc w:val="both"/>
        <w:rPr>
          <w:rFonts w:ascii="Arial" w:hAnsi="Arial" w:cs="Arial"/>
          <w:sz w:val="24"/>
          <w:szCs w:val="24"/>
        </w:rPr>
      </w:pPr>
    </w:p>
    <w:p w:rsidR="009B71DF" w:rsidRDefault="009B71DF" w:rsidP="009B71DF">
      <w:pPr>
        <w:pStyle w:val="Sinespaciado"/>
        <w:jc w:val="both"/>
        <w:rPr>
          <w:rFonts w:ascii="Arial" w:hAnsi="Arial" w:cs="Arial"/>
          <w:sz w:val="24"/>
          <w:szCs w:val="24"/>
        </w:rPr>
      </w:pPr>
    </w:p>
    <w:p w:rsidR="009B71DF" w:rsidRDefault="009B71DF" w:rsidP="009B71DF">
      <w:pPr>
        <w:pStyle w:val="Sinespaciado"/>
        <w:jc w:val="both"/>
        <w:rPr>
          <w:rFonts w:ascii="Arial" w:hAnsi="Arial" w:cs="Arial"/>
          <w:sz w:val="24"/>
          <w:szCs w:val="24"/>
        </w:rPr>
      </w:pPr>
    </w:p>
    <w:p w:rsidR="009B71DF" w:rsidRDefault="009B71DF" w:rsidP="009B71DF">
      <w:pPr>
        <w:pStyle w:val="Sinespaciado"/>
        <w:jc w:val="both"/>
        <w:rPr>
          <w:rFonts w:ascii="Arial" w:hAnsi="Arial" w:cs="Arial"/>
          <w:sz w:val="24"/>
          <w:szCs w:val="24"/>
        </w:rPr>
      </w:pPr>
      <w:r>
        <w:rPr>
          <w:rFonts w:ascii="Arial" w:hAnsi="Arial" w:cs="Arial"/>
          <w:sz w:val="24"/>
          <w:szCs w:val="24"/>
        </w:rPr>
        <w:tab/>
        <w:t>Original firmado</w:t>
      </w:r>
    </w:p>
    <w:p w:rsidR="009B71DF" w:rsidRDefault="009B71DF" w:rsidP="009B71DF">
      <w:pPr>
        <w:pStyle w:val="Sinespaciado"/>
        <w:jc w:val="both"/>
        <w:rPr>
          <w:rFonts w:ascii="Arial" w:hAnsi="Arial" w:cs="Arial"/>
          <w:b/>
          <w:sz w:val="24"/>
          <w:szCs w:val="24"/>
        </w:rPr>
      </w:pPr>
      <w:r>
        <w:rPr>
          <w:rFonts w:ascii="Arial" w:hAnsi="Arial" w:cs="Arial"/>
          <w:b/>
          <w:sz w:val="24"/>
          <w:szCs w:val="24"/>
        </w:rPr>
        <w:t>LILIANA FIGUEREDO AYALA</w:t>
      </w:r>
    </w:p>
    <w:p w:rsidR="009B71DF" w:rsidRDefault="009B71DF" w:rsidP="009B71DF">
      <w:pPr>
        <w:pStyle w:val="Sinespaciado"/>
        <w:jc w:val="both"/>
        <w:rPr>
          <w:rFonts w:ascii="Arial" w:hAnsi="Arial" w:cs="Arial"/>
          <w:sz w:val="24"/>
          <w:szCs w:val="24"/>
        </w:rPr>
      </w:pPr>
      <w:r>
        <w:rPr>
          <w:rFonts w:ascii="Arial" w:hAnsi="Arial" w:cs="Arial"/>
          <w:sz w:val="24"/>
          <w:szCs w:val="24"/>
        </w:rPr>
        <w:t>Procuradora 171 Judicial I Administrativa de Arauca</w:t>
      </w:r>
    </w:p>
    <w:p w:rsidR="009B71DF" w:rsidRDefault="009B71DF" w:rsidP="00907428">
      <w:pPr>
        <w:pStyle w:val="Sinespaciado"/>
        <w:jc w:val="both"/>
        <w:rPr>
          <w:rFonts w:ascii="Arial" w:hAnsi="Arial" w:cs="Arial"/>
          <w:sz w:val="24"/>
          <w:szCs w:val="24"/>
        </w:rPr>
      </w:pPr>
    </w:p>
    <w:p w:rsidR="00AD0A6C" w:rsidRPr="00AD0A6C" w:rsidRDefault="00AD0A6C" w:rsidP="00AD0A6C">
      <w:pPr>
        <w:pStyle w:val="Sinespaciado"/>
        <w:rPr>
          <w:rFonts w:ascii="Arial" w:hAnsi="Arial" w:cs="Arial"/>
          <w:sz w:val="24"/>
          <w:szCs w:val="24"/>
        </w:rPr>
      </w:pPr>
    </w:p>
    <w:sectPr w:rsidR="00AD0A6C" w:rsidRPr="00AD0A6C" w:rsidSect="00D9048F">
      <w:headerReference w:type="default" r:id="rId7"/>
      <w:pgSz w:w="12240" w:h="18720" w:code="14"/>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4121" w:rsidRDefault="00994121" w:rsidP="000D0FAF">
      <w:pPr>
        <w:spacing w:after="0" w:line="240" w:lineRule="auto"/>
      </w:pPr>
      <w:r>
        <w:separator/>
      </w:r>
    </w:p>
  </w:endnote>
  <w:endnote w:type="continuationSeparator" w:id="0">
    <w:p w:rsidR="00994121" w:rsidRDefault="00994121" w:rsidP="000D0F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4121" w:rsidRDefault="00994121" w:rsidP="000D0FAF">
      <w:pPr>
        <w:spacing w:after="0" w:line="240" w:lineRule="auto"/>
      </w:pPr>
      <w:r>
        <w:separator/>
      </w:r>
    </w:p>
  </w:footnote>
  <w:footnote w:type="continuationSeparator" w:id="0">
    <w:p w:rsidR="00994121" w:rsidRDefault="00994121" w:rsidP="000D0F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FAF" w:rsidRDefault="000D0FAF" w:rsidP="000D0FAF">
    <w:pPr>
      <w:pStyle w:val="Encabezado"/>
      <w:jc w:val="center"/>
    </w:pPr>
    <w:r>
      <w:rPr>
        <w:rFonts w:ascii="Verdana" w:hAnsi="Verdana"/>
        <w:noProof/>
        <w:color w:val="5588AA"/>
        <w:sz w:val="19"/>
        <w:szCs w:val="19"/>
        <w:lang w:eastAsia="es-CO"/>
      </w:rPr>
      <w:drawing>
        <wp:inline distT="0" distB="0" distL="0" distR="0" wp14:anchorId="23926C60" wp14:editId="435468E7">
          <wp:extent cx="914400" cy="1302385"/>
          <wp:effectExtent l="0" t="0" r="0" b="0"/>
          <wp:docPr id="1" name="Imagen 1" descr="http://4.bp.blogspot.com/_tveb5Vm_M9s/ShQ1Voy7jnI/AAAAAAAAAPQ/4jckaIlW5rI/s400/logo_procuraduria.jp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337950104185441906" descr="http://4.bp.blogspot.com/_tveb5Vm_M9s/ShQ1Voy7jnI/AAAAAAAAAPQ/4jckaIlW5rI/s400/logo_procuraduria.jp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1302385"/>
                  </a:xfrm>
                  <a:prstGeom prst="rect">
                    <a:avLst/>
                  </a:prstGeom>
                  <a:noFill/>
                  <a:ln>
                    <a:noFill/>
                  </a:ln>
                </pic:spPr>
              </pic:pic>
            </a:graphicData>
          </a:graphic>
        </wp:inline>
      </w:drawing>
    </w:r>
  </w:p>
  <w:p w:rsidR="000D0FAF" w:rsidRPr="000D0FAF" w:rsidRDefault="000D0FAF" w:rsidP="000D0FAF">
    <w:pPr>
      <w:pStyle w:val="Encabezado"/>
      <w:jc w:val="center"/>
      <w:rPr>
        <w:rFonts w:ascii="Algerian" w:hAnsi="Algerian"/>
      </w:rPr>
    </w:pPr>
    <w:r w:rsidRPr="006D37C3">
      <w:rPr>
        <w:rFonts w:ascii="Algerian" w:hAnsi="Algerian"/>
      </w:rPr>
      <w:t>PROCURADURIA 171 JUJDICIAL I ADMINISTRATIVA DE ARAUCA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FDA"/>
    <w:rsid w:val="000029D9"/>
    <w:rsid w:val="00021472"/>
    <w:rsid w:val="000A26F5"/>
    <w:rsid w:val="000C0264"/>
    <w:rsid w:val="000D0FAF"/>
    <w:rsid w:val="000D30B9"/>
    <w:rsid w:val="001039DC"/>
    <w:rsid w:val="00155CBB"/>
    <w:rsid w:val="00175724"/>
    <w:rsid w:val="001E6487"/>
    <w:rsid w:val="00211CCF"/>
    <w:rsid w:val="002154FE"/>
    <w:rsid w:val="002202F1"/>
    <w:rsid w:val="0023388E"/>
    <w:rsid w:val="002462F7"/>
    <w:rsid w:val="00251A57"/>
    <w:rsid w:val="00255B06"/>
    <w:rsid w:val="00262CE0"/>
    <w:rsid w:val="0029645C"/>
    <w:rsid w:val="00297607"/>
    <w:rsid w:val="002A1E37"/>
    <w:rsid w:val="002A2F01"/>
    <w:rsid w:val="002A412A"/>
    <w:rsid w:val="002C4D2C"/>
    <w:rsid w:val="002C6DD4"/>
    <w:rsid w:val="0030758B"/>
    <w:rsid w:val="00310B6F"/>
    <w:rsid w:val="0031658D"/>
    <w:rsid w:val="00321F13"/>
    <w:rsid w:val="00331BF0"/>
    <w:rsid w:val="003C08B7"/>
    <w:rsid w:val="004018A8"/>
    <w:rsid w:val="004A5189"/>
    <w:rsid w:val="004A7F49"/>
    <w:rsid w:val="004C5FDA"/>
    <w:rsid w:val="004E0AAC"/>
    <w:rsid w:val="004E0F95"/>
    <w:rsid w:val="004F0BCF"/>
    <w:rsid w:val="00504902"/>
    <w:rsid w:val="005077A7"/>
    <w:rsid w:val="00517FC0"/>
    <w:rsid w:val="005842DA"/>
    <w:rsid w:val="00587E19"/>
    <w:rsid w:val="00594CC4"/>
    <w:rsid w:val="005E4A18"/>
    <w:rsid w:val="005E53F4"/>
    <w:rsid w:val="005F7F2F"/>
    <w:rsid w:val="006258AB"/>
    <w:rsid w:val="006350C3"/>
    <w:rsid w:val="006467D3"/>
    <w:rsid w:val="00646D4A"/>
    <w:rsid w:val="006662CF"/>
    <w:rsid w:val="0068017F"/>
    <w:rsid w:val="00680340"/>
    <w:rsid w:val="00682E67"/>
    <w:rsid w:val="0068760C"/>
    <w:rsid w:val="006F2A40"/>
    <w:rsid w:val="00715769"/>
    <w:rsid w:val="00742E33"/>
    <w:rsid w:val="007A68A0"/>
    <w:rsid w:val="007A79DC"/>
    <w:rsid w:val="007B3021"/>
    <w:rsid w:val="007B433A"/>
    <w:rsid w:val="00826FBF"/>
    <w:rsid w:val="00893698"/>
    <w:rsid w:val="008C414B"/>
    <w:rsid w:val="00907428"/>
    <w:rsid w:val="00994121"/>
    <w:rsid w:val="009B150E"/>
    <w:rsid w:val="009B71DF"/>
    <w:rsid w:val="00A16DEF"/>
    <w:rsid w:val="00A26ADA"/>
    <w:rsid w:val="00A3388A"/>
    <w:rsid w:val="00A35A49"/>
    <w:rsid w:val="00A36732"/>
    <w:rsid w:val="00AA50CB"/>
    <w:rsid w:val="00AA6B68"/>
    <w:rsid w:val="00AD0A6C"/>
    <w:rsid w:val="00AF3474"/>
    <w:rsid w:val="00AF7B44"/>
    <w:rsid w:val="00B32604"/>
    <w:rsid w:val="00B80624"/>
    <w:rsid w:val="00B901C5"/>
    <w:rsid w:val="00BA7A6F"/>
    <w:rsid w:val="00BD7E20"/>
    <w:rsid w:val="00C4403D"/>
    <w:rsid w:val="00C57C22"/>
    <w:rsid w:val="00C91081"/>
    <w:rsid w:val="00CA29F0"/>
    <w:rsid w:val="00CF0BC1"/>
    <w:rsid w:val="00CF279C"/>
    <w:rsid w:val="00D047C6"/>
    <w:rsid w:val="00D20C61"/>
    <w:rsid w:val="00D272E6"/>
    <w:rsid w:val="00D326D2"/>
    <w:rsid w:val="00D45755"/>
    <w:rsid w:val="00D900BA"/>
    <w:rsid w:val="00D9048F"/>
    <w:rsid w:val="00D9231F"/>
    <w:rsid w:val="00DD7341"/>
    <w:rsid w:val="00E07414"/>
    <w:rsid w:val="00E8207F"/>
    <w:rsid w:val="00E903E3"/>
    <w:rsid w:val="00E943D6"/>
    <w:rsid w:val="00E951EF"/>
    <w:rsid w:val="00EF17FC"/>
    <w:rsid w:val="00F00CDB"/>
    <w:rsid w:val="00F03153"/>
    <w:rsid w:val="00F14CE5"/>
    <w:rsid w:val="00F30906"/>
    <w:rsid w:val="00F607D7"/>
    <w:rsid w:val="00F90BEF"/>
    <w:rsid w:val="00F96750"/>
    <w:rsid w:val="00F97CF1"/>
    <w:rsid w:val="00FD7DF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0D0FAF"/>
    <w:pPr>
      <w:spacing w:after="0" w:line="240" w:lineRule="auto"/>
    </w:pPr>
  </w:style>
  <w:style w:type="paragraph" w:styleId="Encabezado">
    <w:name w:val="header"/>
    <w:basedOn w:val="Normal"/>
    <w:link w:val="EncabezadoCar"/>
    <w:unhideWhenUsed/>
    <w:rsid w:val="000D0FAF"/>
    <w:pPr>
      <w:tabs>
        <w:tab w:val="center" w:pos="4419"/>
        <w:tab w:val="right" w:pos="8838"/>
      </w:tabs>
      <w:spacing w:after="0" w:line="240" w:lineRule="auto"/>
    </w:pPr>
  </w:style>
  <w:style w:type="character" w:customStyle="1" w:styleId="EncabezadoCar">
    <w:name w:val="Encabezado Car"/>
    <w:basedOn w:val="Fuentedeprrafopredeter"/>
    <w:link w:val="Encabezado"/>
    <w:rsid w:val="000D0FAF"/>
  </w:style>
  <w:style w:type="paragraph" w:styleId="Piedepgina">
    <w:name w:val="footer"/>
    <w:basedOn w:val="Normal"/>
    <w:link w:val="PiedepginaCar"/>
    <w:uiPriority w:val="99"/>
    <w:unhideWhenUsed/>
    <w:rsid w:val="000D0FA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D0FAF"/>
  </w:style>
  <w:style w:type="paragraph" w:styleId="Textodeglobo">
    <w:name w:val="Balloon Text"/>
    <w:basedOn w:val="Normal"/>
    <w:link w:val="TextodegloboCar"/>
    <w:uiPriority w:val="99"/>
    <w:semiHidden/>
    <w:unhideWhenUsed/>
    <w:rsid w:val="000D0FA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D0FAF"/>
    <w:rPr>
      <w:rFonts w:ascii="Tahoma" w:hAnsi="Tahoma" w:cs="Tahoma"/>
      <w:sz w:val="16"/>
      <w:szCs w:val="16"/>
    </w:rPr>
  </w:style>
  <w:style w:type="character" w:customStyle="1" w:styleId="SinespaciadoCar">
    <w:name w:val="Sin espaciado Car"/>
    <w:link w:val="Sinespaciado"/>
    <w:uiPriority w:val="1"/>
    <w:locked/>
    <w:rsid w:val="00AD0A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0D0FAF"/>
    <w:pPr>
      <w:spacing w:after="0" w:line="240" w:lineRule="auto"/>
    </w:pPr>
  </w:style>
  <w:style w:type="paragraph" w:styleId="Encabezado">
    <w:name w:val="header"/>
    <w:basedOn w:val="Normal"/>
    <w:link w:val="EncabezadoCar"/>
    <w:unhideWhenUsed/>
    <w:rsid w:val="000D0FAF"/>
    <w:pPr>
      <w:tabs>
        <w:tab w:val="center" w:pos="4419"/>
        <w:tab w:val="right" w:pos="8838"/>
      </w:tabs>
      <w:spacing w:after="0" w:line="240" w:lineRule="auto"/>
    </w:pPr>
  </w:style>
  <w:style w:type="character" w:customStyle="1" w:styleId="EncabezadoCar">
    <w:name w:val="Encabezado Car"/>
    <w:basedOn w:val="Fuentedeprrafopredeter"/>
    <w:link w:val="Encabezado"/>
    <w:rsid w:val="000D0FAF"/>
  </w:style>
  <w:style w:type="paragraph" w:styleId="Piedepgina">
    <w:name w:val="footer"/>
    <w:basedOn w:val="Normal"/>
    <w:link w:val="PiedepginaCar"/>
    <w:uiPriority w:val="99"/>
    <w:unhideWhenUsed/>
    <w:rsid w:val="000D0FA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D0FAF"/>
  </w:style>
  <w:style w:type="paragraph" w:styleId="Textodeglobo">
    <w:name w:val="Balloon Text"/>
    <w:basedOn w:val="Normal"/>
    <w:link w:val="TextodegloboCar"/>
    <w:uiPriority w:val="99"/>
    <w:semiHidden/>
    <w:unhideWhenUsed/>
    <w:rsid w:val="000D0FA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D0FAF"/>
    <w:rPr>
      <w:rFonts w:ascii="Tahoma" w:hAnsi="Tahoma" w:cs="Tahoma"/>
      <w:sz w:val="16"/>
      <w:szCs w:val="16"/>
    </w:rPr>
  </w:style>
  <w:style w:type="character" w:customStyle="1" w:styleId="SinespaciadoCar">
    <w:name w:val="Sin espaciado Car"/>
    <w:link w:val="Sinespaciado"/>
    <w:uiPriority w:val="1"/>
    <w:locked/>
    <w:rsid w:val="00AD0A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23232">
      <w:bodyDiv w:val="1"/>
      <w:marLeft w:val="0"/>
      <w:marRight w:val="0"/>
      <w:marTop w:val="0"/>
      <w:marBottom w:val="0"/>
      <w:divBdr>
        <w:top w:val="none" w:sz="0" w:space="0" w:color="auto"/>
        <w:left w:val="none" w:sz="0" w:space="0" w:color="auto"/>
        <w:bottom w:val="none" w:sz="0" w:space="0" w:color="auto"/>
        <w:right w:val="none" w:sz="0" w:space="0" w:color="auto"/>
      </w:divBdr>
    </w:div>
    <w:div w:id="44450927">
      <w:bodyDiv w:val="1"/>
      <w:marLeft w:val="0"/>
      <w:marRight w:val="0"/>
      <w:marTop w:val="0"/>
      <w:marBottom w:val="0"/>
      <w:divBdr>
        <w:top w:val="none" w:sz="0" w:space="0" w:color="auto"/>
        <w:left w:val="none" w:sz="0" w:space="0" w:color="auto"/>
        <w:bottom w:val="none" w:sz="0" w:space="0" w:color="auto"/>
        <w:right w:val="none" w:sz="0" w:space="0" w:color="auto"/>
      </w:divBdr>
    </w:div>
    <w:div w:id="269897646">
      <w:bodyDiv w:val="1"/>
      <w:marLeft w:val="0"/>
      <w:marRight w:val="0"/>
      <w:marTop w:val="0"/>
      <w:marBottom w:val="0"/>
      <w:divBdr>
        <w:top w:val="none" w:sz="0" w:space="0" w:color="auto"/>
        <w:left w:val="none" w:sz="0" w:space="0" w:color="auto"/>
        <w:bottom w:val="none" w:sz="0" w:space="0" w:color="auto"/>
        <w:right w:val="none" w:sz="0" w:space="0" w:color="auto"/>
      </w:divBdr>
    </w:div>
    <w:div w:id="919949918">
      <w:bodyDiv w:val="1"/>
      <w:marLeft w:val="0"/>
      <w:marRight w:val="0"/>
      <w:marTop w:val="0"/>
      <w:marBottom w:val="0"/>
      <w:divBdr>
        <w:top w:val="none" w:sz="0" w:space="0" w:color="auto"/>
        <w:left w:val="none" w:sz="0" w:space="0" w:color="auto"/>
        <w:bottom w:val="none" w:sz="0" w:space="0" w:color="auto"/>
        <w:right w:val="none" w:sz="0" w:space="0" w:color="auto"/>
      </w:divBdr>
    </w:div>
    <w:div w:id="1227571269">
      <w:bodyDiv w:val="1"/>
      <w:marLeft w:val="0"/>
      <w:marRight w:val="0"/>
      <w:marTop w:val="0"/>
      <w:marBottom w:val="0"/>
      <w:divBdr>
        <w:top w:val="none" w:sz="0" w:space="0" w:color="auto"/>
        <w:left w:val="none" w:sz="0" w:space="0" w:color="auto"/>
        <w:bottom w:val="none" w:sz="0" w:space="0" w:color="auto"/>
        <w:right w:val="none" w:sz="0" w:space="0" w:color="auto"/>
      </w:divBdr>
    </w:div>
    <w:div w:id="130026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4.bp.blogspot.com/_tveb5Vm_M9s/ShQ1Voy7jnI/AAAAAAAAAPQ/4jckaIlW5rI/s1600-h/logo_procuraduria.jp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306</Words>
  <Characters>1686</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Liliana Figueredo Ayala</dc:creator>
  <cp:lastModifiedBy>Control Interno</cp:lastModifiedBy>
  <cp:revision>4</cp:revision>
  <cp:lastPrinted>2018-10-08T21:00:00Z</cp:lastPrinted>
  <dcterms:created xsi:type="dcterms:W3CDTF">2019-02-20T22:16:00Z</dcterms:created>
  <dcterms:modified xsi:type="dcterms:W3CDTF">2019-02-20T23:54:00Z</dcterms:modified>
</cp:coreProperties>
</file>